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C5A91" w14:textId="77777777" w:rsidR="00386028" w:rsidRPr="00386028" w:rsidRDefault="00386028" w:rsidP="00386028">
      <w:pPr>
        <w:pStyle w:val="Heading1"/>
        <w:spacing w:before="0"/>
        <w:rPr>
          <w:lang w:val="en"/>
        </w:rPr>
      </w:pPr>
      <w:bookmarkStart w:id="0" w:name="_dcsqxg3x1qg4"/>
      <w:bookmarkEnd w:id="0"/>
      <w:r w:rsidRPr="00386028">
        <w:rPr>
          <w:lang w:val="en"/>
        </w:rPr>
        <w:t>30-Day Re-enrollment Notice Template</w:t>
      </w:r>
    </w:p>
    <w:p w14:paraId="46108840" w14:textId="77777777" w:rsidR="00386028" w:rsidRDefault="00386028" w:rsidP="00386028">
      <w:pPr>
        <w:rPr>
          <w:lang w:val="en"/>
        </w:rPr>
      </w:pPr>
      <w:proofErr w:type="gramStart"/>
      <w:r w:rsidRPr="00386028">
        <w:rPr>
          <w:lang w:val="en"/>
        </w:rPr>
        <w:t>The</w:t>
      </w:r>
      <w:proofErr w:type="gramEnd"/>
      <w:r w:rsidRPr="00386028">
        <w:rPr>
          <w:lang w:val="en"/>
        </w:rPr>
        <w:t xml:space="preserve"> required technical 30-day notice to participants, giving them advance warning of the upcoming changes. Must be mailed unless the participant has agreed to electronic notices. Common practice is to send via both email and mail. </w:t>
      </w:r>
    </w:p>
    <w:p w14:paraId="4230B4D2" w14:textId="0347E2C2" w:rsidR="00386028" w:rsidRPr="00386028" w:rsidRDefault="00386028" w:rsidP="00386028">
      <w:pPr>
        <w:rPr>
          <w:lang w:val="en"/>
        </w:rPr>
      </w:pPr>
      <w:r w:rsidRPr="00386028">
        <w:rPr>
          <w:noProof/>
          <w:color w:val="5F5F5F"/>
          <w:lang w:val="en"/>
        </w:rPr>
        <mc:AlternateContent>
          <mc:Choice Requires="wps">
            <w:drawing>
              <wp:inline distT="0" distB="0" distL="0" distR="0" wp14:anchorId="232C88F6" wp14:editId="47BF9929">
                <wp:extent cx="6810375" cy="1404620"/>
                <wp:effectExtent l="0" t="0" r="28575" b="1968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4620"/>
                        </a:xfrm>
                        <a:prstGeom prst="rect">
                          <a:avLst/>
                        </a:prstGeom>
                        <a:solidFill>
                          <a:srgbClr val="EAEAEA"/>
                        </a:solidFill>
                        <a:ln w="9525">
                          <a:solidFill>
                            <a:srgbClr val="5F5F5F"/>
                          </a:solidFill>
                          <a:miter lim="800000"/>
                          <a:headEnd/>
                          <a:tailEnd/>
                        </a:ln>
                      </wps:spPr>
                      <wps:txbx>
                        <w:txbxContent>
                          <w:p w14:paraId="42421203" w14:textId="0E473F8C" w:rsidR="00386028" w:rsidRPr="00386028" w:rsidRDefault="00386028" w:rsidP="00386028">
                            <w:pPr>
                              <w:spacing w:after="0"/>
                              <w:rPr>
                                <w:color w:val="969696"/>
                                <w:sz w:val="20"/>
                                <w:szCs w:val="22"/>
                              </w:rPr>
                            </w:pPr>
                            <w:r w:rsidRPr="00386028">
                              <w:rPr>
                                <w:color w:val="969696"/>
                                <w:sz w:val="20"/>
                                <w:szCs w:val="22"/>
                              </w:rPr>
                              <w:t>The information provided in this document is for educational and informational purposes only and should not be considered as legal, tax, nor investment advice. It is intended to serve as a sample for general reference only. You should consult a qualified attorney or legal professional for advice tailored to your specific circumstances. This material is a guide for institutional-facing purposes only and should be reviewed and tailored prior to distribution to other audiences, including use with participants.</w:t>
                            </w:r>
                          </w:p>
                        </w:txbxContent>
                      </wps:txbx>
                      <wps:bodyPr rot="0" vert="horz" wrap="square" lIns="91440" tIns="45720" rIns="91440" bIns="45720" anchor="t" anchorCtr="0">
                        <a:spAutoFit/>
                      </wps:bodyPr>
                    </wps:wsp>
                  </a:graphicData>
                </a:graphic>
              </wp:inline>
            </w:drawing>
          </mc:Choice>
          <mc:Fallback>
            <w:pict>
              <v:shapetype w14:anchorId="232C88F6" id="_x0000_t202" coordsize="21600,21600" o:spt="202" path="m,l,21600r21600,l21600,xe">
                <v:stroke joinstyle="miter"/>
                <v:path gradientshapeok="t" o:connecttype="rect"/>
              </v:shapetype>
              <v:shape id="Text Box 2" o:spid="_x0000_s1026" type="#_x0000_t202" style="width:53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" fillcolor="#eaeaea" strokecolor="#5f5f5f">
                <v:textbox style="mso-fit-shape-to-text:t">
                  <w:txbxContent>
                    <w:p w14:paraId="42421203" w14:textId="0E473F8C" w:rsidR="00386028" w:rsidRPr="00386028" w:rsidRDefault="00386028" w:rsidP="00386028">
                      <w:pPr>
                        <w:spacing w:after="0"/>
                        <w:rPr>
                          <w:color w:val="969696"/>
                          <w:sz w:val="20"/>
                          <w:szCs w:val="22"/>
                        </w:rPr>
                      </w:pPr>
                      <w:r w:rsidRPr="00386028">
                        <w:rPr>
                          <w:color w:val="969696"/>
                          <w:sz w:val="20"/>
                          <w:szCs w:val="22"/>
                        </w:rPr>
                        <w:t>The information provided in this document is for educational and informational purposes only and should not be considered as legal, tax, nor investment advice. It is intended to serve as a sample for general reference only. You should consult a qualified attorney or legal professional for advice tailored to your specific circumstances. This material is a guide for institutional-facing purposes only and should be reviewed and tailored prior to distribution to other audiences, including use with participants.</w:t>
                      </w:r>
                    </w:p>
                  </w:txbxContent>
                </v:textbox>
                <w10:anchorlock/>
              </v:shape>
            </w:pict>
          </mc:Fallback>
        </mc:AlternateContent>
      </w:r>
    </w:p>
    <w:p w14:paraId="6195A26C" w14:textId="77777777" w:rsidR="00386028" w:rsidRPr="00386028" w:rsidRDefault="00000000" w:rsidP="00386028">
      <w:pPr>
        <w:rPr>
          <w:lang w:val="en"/>
        </w:rPr>
      </w:pPr>
      <w:r>
        <w:rPr>
          <w:lang w:val="en"/>
        </w:rPr>
        <w:pict w14:anchorId="6E7DD11E">
          <v:rect id="_x0000_i1025" style="width:468pt;height:1.5pt" o:hralign="center" o:hrstd="t" o:hr="t" fillcolor="#a0a0a0" stroked="f"/>
        </w:pict>
      </w:r>
    </w:p>
    <w:p w14:paraId="7A302CEA" w14:textId="1A5B3685" w:rsidR="00386028" w:rsidRPr="00386028" w:rsidRDefault="00386028" w:rsidP="00386028">
      <w:pPr>
        <w:rPr>
          <w:lang w:val="en"/>
        </w:rPr>
      </w:pPr>
      <w:r w:rsidRPr="00386028">
        <w:rPr>
          <w:b/>
          <w:bCs/>
          <w:lang w:val="en"/>
        </w:rPr>
        <w:t>Subject Line:</w:t>
      </w:r>
      <w:r w:rsidRPr="00386028">
        <w:rPr>
          <w:lang w:val="en"/>
        </w:rPr>
        <w:t xml:space="preserve"> Notice of Qualified Default Investment Alternative (QDIA)</w:t>
      </w:r>
    </w:p>
    <w:p w14:paraId="71151129" w14:textId="384750CD" w:rsidR="00386028" w:rsidRPr="00386028" w:rsidRDefault="00386028" w:rsidP="00386028">
      <w:pPr>
        <w:rPr>
          <w:lang w:val="en"/>
        </w:rPr>
      </w:pPr>
      <w:r w:rsidRPr="00386028">
        <w:rPr>
          <w:b/>
          <w:bCs/>
          <w:lang w:val="en"/>
        </w:rPr>
        <w:t>Date:</w:t>
      </w:r>
      <w:r w:rsidRPr="00386028">
        <w:rPr>
          <w:lang w:val="en"/>
        </w:rPr>
        <w:t xml:space="preserve"> [</w:t>
      </w:r>
      <w:r w:rsidRPr="007F6DE5">
        <w:rPr>
          <w:color w:val="D84320"/>
          <w:lang w:val="en"/>
        </w:rPr>
        <w:t>INSERT</w:t>
      </w:r>
      <w:r w:rsidRPr="00386028">
        <w:rPr>
          <w:color w:val="D84320"/>
          <w:lang w:val="en"/>
        </w:rPr>
        <w:t xml:space="preserve"> DATE</w:t>
      </w:r>
      <w:r w:rsidRPr="00386028">
        <w:rPr>
          <w:lang w:val="en"/>
        </w:rPr>
        <w:t>]</w:t>
      </w:r>
    </w:p>
    <w:p w14:paraId="4AD1A67C" w14:textId="22F3A310" w:rsidR="00386028" w:rsidRPr="00386028" w:rsidRDefault="00386028" w:rsidP="00386028">
      <w:pPr>
        <w:rPr>
          <w:b/>
          <w:bCs/>
          <w:lang w:val="en"/>
        </w:rPr>
      </w:pPr>
      <w:r w:rsidRPr="00386028">
        <w:rPr>
          <w:b/>
          <w:bCs/>
          <w:lang w:val="en"/>
        </w:rPr>
        <w:t>Body:</w:t>
      </w:r>
    </w:p>
    <w:p w14:paraId="03449D8B" w14:textId="1E643098" w:rsidR="00386028" w:rsidRPr="00386028" w:rsidRDefault="00386028" w:rsidP="00386028">
      <w:pPr>
        <w:rPr>
          <w:lang w:val="en"/>
        </w:rPr>
      </w:pPr>
      <w:r w:rsidRPr="00386028">
        <w:rPr>
          <w:lang w:val="en"/>
        </w:rPr>
        <w:t>Dear [</w:t>
      </w:r>
      <w:r w:rsidRPr="00392A60">
        <w:rPr>
          <w:color w:val="D84320"/>
          <w:lang w:val="en"/>
        </w:rPr>
        <w:t>Participant Name</w:t>
      </w:r>
      <w:r w:rsidRPr="00386028">
        <w:rPr>
          <w:lang w:val="en"/>
        </w:rPr>
        <w:t>],</w:t>
      </w:r>
    </w:p>
    <w:p w14:paraId="7A5C8129" w14:textId="77777777" w:rsidR="00386028" w:rsidRPr="00386028" w:rsidRDefault="00386028" w:rsidP="00386028">
      <w:pPr>
        <w:pStyle w:val="Heading2"/>
        <w:rPr>
          <w:lang w:val="en"/>
        </w:rPr>
      </w:pPr>
      <w:r w:rsidRPr="00386028">
        <w:rPr>
          <w:lang w:val="en"/>
        </w:rPr>
        <w:t>Important Information</w:t>
      </w:r>
    </w:p>
    <w:p w14:paraId="49D3ED6B" w14:textId="77777777" w:rsidR="00386028" w:rsidRPr="00386028" w:rsidRDefault="00386028" w:rsidP="00386028">
      <w:pPr>
        <w:rPr>
          <w:lang w:val="en"/>
        </w:rPr>
      </w:pPr>
      <w:r w:rsidRPr="00386028">
        <w:rPr>
          <w:lang w:val="en"/>
        </w:rPr>
        <w:t>You are receiving this [</w:t>
      </w:r>
      <w:r w:rsidRPr="00386028">
        <w:rPr>
          <w:color w:val="D84320"/>
          <w:lang w:val="en"/>
        </w:rPr>
        <w:t>initial/annual</w:t>
      </w:r>
      <w:r w:rsidRPr="00386028">
        <w:rPr>
          <w:lang w:val="en"/>
        </w:rPr>
        <w:t>] notice to inform you of how your contributions under the plan(s) for [</w:t>
      </w:r>
      <w:r w:rsidRPr="007F6DE5">
        <w:rPr>
          <w:color w:val="D84320"/>
          <w:lang w:val="en"/>
        </w:rPr>
        <w:t>Institution Name</w:t>
      </w:r>
      <w:r w:rsidRPr="00386028">
        <w:rPr>
          <w:lang w:val="en"/>
        </w:rPr>
        <w:t>] may be invested and how such contributions will continue to be invested if you have not made an investment election.</w:t>
      </w:r>
    </w:p>
    <w:p w14:paraId="62480573" w14:textId="77777777" w:rsidR="00386028" w:rsidRPr="00386028" w:rsidRDefault="00386028" w:rsidP="00386028">
      <w:pPr>
        <w:pStyle w:val="Heading2"/>
        <w:rPr>
          <w:lang w:val="en"/>
        </w:rPr>
      </w:pPr>
      <w:r w:rsidRPr="00386028">
        <w:rPr>
          <w:lang w:val="en"/>
        </w:rPr>
        <w:t>How Your Contributions will be Invested</w:t>
      </w:r>
    </w:p>
    <w:p w14:paraId="0005F5FB" w14:textId="77777777" w:rsidR="00386028" w:rsidRPr="00386028" w:rsidRDefault="00386028" w:rsidP="00386028">
      <w:pPr>
        <w:rPr>
          <w:lang w:val="en"/>
        </w:rPr>
      </w:pPr>
      <w:r w:rsidRPr="00386028">
        <w:rPr>
          <w:lang w:val="en"/>
        </w:rPr>
        <w:t xml:space="preserve">Your </w:t>
      </w:r>
      <w:proofErr w:type="gramStart"/>
      <w:r w:rsidRPr="00386028">
        <w:rPr>
          <w:lang w:val="en"/>
        </w:rPr>
        <w:t>contributions</w:t>
      </w:r>
      <w:proofErr w:type="gramEnd"/>
      <w:r w:rsidRPr="00386028">
        <w:rPr>
          <w:lang w:val="en"/>
        </w:rPr>
        <w:t xml:space="preserve"> will be invested in the Plan’s default investment option, known as the Qualified Default Investment Alternative (QDIA). If you are participating in the retirement plan but did not make an election choice, you are automatically defaulted into the plan’s default investment option(s). You will continue to be invested in the designated option(s) unless you provide complete investment instructions. Please disregard this notice if you have already provided or updated your investment instructions.</w:t>
      </w:r>
    </w:p>
    <w:p w14:paraId="7FBA528E" w14:textId="77777777" w:rsidR="00386028" w:rsidRPr="00386028" w:rsidRDefault="00386028" w:rsidP="00386028">
      <w:pPr>
        <w:pStyle w:val="Heading2"/>
        <w:rPr>
          <w:lang w:val="en"/>
        </w:rPr>
      </w:pPr>
      <w:r w:rsidRPr="00386028">
        <w:rPr>
          <w:lang w:val="en"/>
        </w:rPr>
        <w:lastRenderedPageBreak/>
        <w:t xml:space="preserve">What is </w:t>
      </w:r>
      <w:proofErr w:type="gramStart"/>
      <w:r w:rsidRPr="00386028">
        <w:rPr>
          <w:lang w:val="en"/>
        </w:rPr>
        <w:t>the QDIA</w:t>
      </w:r>
      <w:proofErr w:type="gramEnd"/>
      <w:r w:rsidRPr="00386028">
        <w:rPr>
          <w:lang w:val="en"/>
        </w:rPr>
        <w:t>?</w:t>
      </w:r>
    </w:p>
    <w:p w14:paraId="29FE1084" w14:textId="77777777" w:rsidR="00386028" w:rsidRPr="00386028" w:rsidRDefault="00386028" w:rsidP="00386028">
      <w:pPr>
        <w:rPr>
          <w:lang w:val="en"/>
        </w:rPr>
      </w:pPr>
      <w:r w:rsidRPr="00386028">
        <w:rPr>
          <w:lang w:val="en"/>
        </w:rPr>
        <w:t>The QDIA for the Plan is [</w:t>
      </w:r>
      <w:r w:rsidRPr="00386028">
        <w:rPr>
          <w:color w:val="D84320"/>
          <w:lang w:val="en"/>
        </w:rPr>
        <w:t>Name of Default Investment Option</w:t>
      </w:r>
      <w:r w:rsidRPr="00386028">
        <w:rPr>
          <w:lang w:val="en"/>
        </w:rPr>
        <w:t xml:space="preserve">]. This option has been selected based on its potential to meet the retirement savings needs of participants who do not make their own investment choices. If you do not provide investment instructions, your contributions will automatically be invested in </w:t>
      </w:r>
      <w:proofErr w:type="gramStart"/>
      <w:r w:rsidRPr="00386028">
        <w:rPr>
          <w:lang w:val="en"/>
        </w:rPr>
        <w:t>the QDIA</w:t>
      </w:r>
      <w:proofErr w:type="gramEnd"/>
      <w:r w:rsidRPr="00386028">
        <w:rPr>
          <w:lang w:val="en"/>
        </w:rPr>
        <w:t>.</w:t>
      </w:r>
    </w:p>
    <w:p w14:paraId="12CC7431" w14:textId="77777777" w:rsidR="00386028" w:rsidRPr="00386028" w:rsidRDefault="00386028" w:rsidP="00386028">
      <w:pPr>
        <w:rPr>
          <w:lang w:val="en"/>
        </w:rPr>
      </w:pPr>
      <w:r w:rsidRPr="00386028">
        <w:rPr>
          <w:lang w:val="en"/>
        </w:rPr>
        <w:t>You have the right to change your investment options at any time. You can transfer your contributions out of the QDIA to other available investment options within the plan.</w:t>
      </w:r>
    </w:p>
    <w:p w14:paraId="48924648" w14:textId="77777777" w:rsidR="00386028" w:rsidRPr="00386028" w:rsidRDefault="00386028" w:rsidP="00386028">
      <w:pPr>
        <w:rPr>
          <w:lang w:val="en"/>
        </w:rPr>
      </w:pPr>
      <w:r w:rsidRPr="00386028">
        <w:rPr>
          <w:lang w:val="en"/>
        </w:rPr>
        <w:t>Detailed information about the QDIA, including its investment objectives, risk and return characteristics, and fees, is available [</w:t>
      </w:r>
      <w:r w:rsidRPr="00386028">
        <w:rPr>
          <w:color w:val="D84320"/>
          <w:lang w:val="en"/>
        </w:rPr>
        <w:t>in the Plan’s investment materials</w:t>
      </w:r>
      <w:r w:rsidRPr="00386028">
        <w:rPr>
          <w:lang w:val="en"/>
        </w:rPr>
        <w:t>]. You can request this information by contacting [</w:t>
      </w:r>
      <w:r w:rsidRPr="00386028">
        <w:rPr>
          <w:color w:val="D84320"/>
          <w:lang w:val="en"/>
        </w:rPr>
        <w:t>Plan Administrator’s Contact Information</w:t>
      </w:r>
      <w:r w:rsidRPr="00386028">
        <w:rPr>
          <w:lang w:val="en"/>
        </w:rPr>
        <w:t>].</w:t>
      </w:r>
    </w:p>
    <w:p w14:paraId="2E9F00C3" w14:textId="77777777" w:rsidR="00386028" w:rsidRPr="00386028" w:rsidRDefault="00386028" w:rsidP="00386028">
      <w:pPr>
        <w:pStyle w:val="Heading2"/>
        <w:rPr>
          <w:lang w:val="en"/>
        </w:rPr>
      </w:pPr>
      <w:r w:rsidRPr="00386028">
        <w:rPr>
          <w:lang w:val="en"/>
        </w:rPr>
        <w:t>How to Contact Us</w:t>
      </w:r>
    </w:p>
    <w:p w14:paraId="24ED130E" w14:textId="79290D11" w:rsidR="00386028" w:rsidRPr="00386028" w:rsidRDefault="00386028" w:rsidP="00386028">
      <w:pPr>
        <w:rPr>
          <w:lang w:val="en"/>
        </w:rPr>
      </w:pPr>
      <w:r w:rsidRPr="00386028">
        <w:rPr>
          <w:lang w:val="en"/>
        </w:rPr>
        <w:t>If you have questions or would like to obtain updated information on expenses, a more detailed explanation of the default option(s), or more information about the other investment options available under the plan, please visit [</w:t>
      </w:r>
      <w:r w:rsidRPr="00386028">
        <w:rPr>
          <w:color w:val="D84320"/>
          <w:lang w:val="en"/>
        </w:rPr>
        <w:t>website</w:t>
      </w:r>
      <w:r w:rsidRPr="00386028">
        <w:rPr>
          <w:lang w:val="en"/>
        </w:rPr>
        <w:t>] or contact [</w:t>
      </w:r>
      <w:r w:rsidRPr="00386028">
        <w:rPr>
          <w:color w:val="D84320"/>
          <w:lang w:val="en"/>
        </w:rPr>
        <w:t>company name</w:t>
      </w:r>
      <w:r w:rsidRPr="00386028">
        <w:rPr>
          <w:lang w:val="en"/>
        </w:rPr>
        <w:t>] at [</w:t>
      </w:r>
      <w:r w:rsidRPr="007F6DE5">
        <w:rPr>
          <w:color w:val="D84320"/>
          <w:lang w:val="en"/>
        </w:rPr>
        <w:t>phone number</w:t>
      </w:r>
      <w:r w:rsidRPr="00386028">
        <w:rPr>
          <w:lang w:val="en"/>
        </w:rPr>
        <w:t>]</w:t>
      </w:r>
    </w:p>
    <w:p w14:paraId="3600CE3D" w14:textId="77777777" w:rsidR="00386028" w:rsidRPr="00386028" w:rsidRDefault="00386028" w:rsidP="00386028">
      <w:pPr>
        <w:rPr>
          <w:lang w:val="en"/>
        </w:rPr>
      </w:pPr>
      <w:r w:rsidRPr="00386028">
        <w:rPr>
          <w:lang w:val="en"/>
        </w:rPr>
        <w:t>We encourage you to review your investment choices carefully and consider your retirement goals. If you have any questions or need assistance, please contact [</w:t>
      </w:r>
      <w:r w:rsidRPr="007F6DE5">
        <w:rPr>
          <w:color w:val="D84320"/>
          <w:lang w:val="en"/>
        </w:rPr>
        <w:t>Plan Administrator’s Contact Information</w:t>
      </w:r>
      <w:r w:rsidRPr="00386028">
        <w:rPr>
          <w:lang w:val="en"/>
        </w:rPr>
        <w:t>].</w:t>
      </w:r>
    </w:p>
    <w:p w14:paraId="57F4BEF1" w14:textId="77777777" w:rsidR="00386028" w:rsidRPr="00386028" w:rsidRDefault="00386028" w:rsidP="00386028">
      <w:pPr>
        <w:rPr>
          <w:lang w:val="en"/>
        </w:rPr>
      </w:pPr>
      <w:r w:rsidRPr="00386028">
        <w:rPr>
          <w:lang w:val="en"/>
        </w:rPr>
        <w:t>Sincerely,</w:t>
      </w:r>
    </w:p>
    <w:p w14:paraId="70D1569F" w14:textId="467A5E86" w:rsidR="00386028" w:rsidRPr="00386028" w:rsidRDefault="00386028" w:rsidP="00386028">
      <w:pPr>
        <w:rPr>
          <w:lang w:val="en"/>
        </w:rPr>
      </w:pPr>
      <w:r w:rsidRPr="00386028">
        <w:rPr>
          <w:lang w:val="en"/>
        </w:rPr>
        <w:t>[</w:t>
      </w:r>
      <w:r w:rsidRPr="00386028">
        <w:rPr>
          <w:color w:val="D84320"/>
          <w:lang w:val="en"/>
        </w:rPr>
        <w:t>PLAN Recordkeeper or HR contact NAME</w:t>
      </w:r>
      <w:r w:rsidRPr="00386028">
        <w:rPr>
          <w:lang w:val="en"/>
        </w:rPr>
        <w:t>]</w:t>
      </w:r>
      <w:r>
        <w:rPr>
          <w:lang w:val="en"/>
        </w:rPr>
        <w:br/>
      </w:r>
      <w:r w:rsidRPr="00386028">
        <w:rPr>
          <w:lang w:val="en"/>
        </w:rPr>
        <w:t>[</w:t>
      </w:r>
      <w:r w:rsidRPr="00386028">
        <w:rPr>
          <w:color w:val="D84320"/>
          <w:lang w:val="en"/>
        </w:rPr>
        <w:t>ADDRESS</w:t>
      </w:r>
      <w:r w:rsidRPr="00386028">
        <w:rPr>
          <w:lang w:val="en"/>
        </w:rPr>
        <w:t>]</w:t>
      </w:r>
      <w:r w:rsidRPr="00386028">
        <w:rPr>
          <w:lang w:val="en"/>
        </w:rPr>
        <w:br/>
        <w:t>[</w:t>
      </w:r>
      <w:r w:rsidRPr="00386028">
        <w:rPr>
          <w:color w:val="D84320"/>
          <w:lang w:val="en"/>
        </w:rPr>
        <w:t>TELEPHONE NUMBER</w:t>
      </w:r>
      <w:r w:rsidRPr="00386028">
        <w:rPr>
          <w:lang w:val="en"/>
        </w:rPr>
        <w:t>]</w:t>
      </w:r>
      <w:r>
        <w:rPr>
          <w:lang w:val="en"/>
        </w:rPr>
        <w:br/>
      </w:r>
      <w:r w:rsidRPr="00386028">
        <w:rPr>
          <w:lang w:val="en"/>
        </w:rPr>
        <w:t>[</w:t>
      </w:r>
      <w:r w:rsidRPr="00386028">
        <w:rPr>
          <w:color w:val="D84320"/>
          <w:lang w:val="en"/>
        </w:rPr>
        <w:t>E-MAIL ADDRESS</w:t>
      </w:r>
      <w:r w:rsidRPr="00386028">
        <w:rPr>
          <w:lang w:val="en"/>
        </w:rPr>
        <w:t>]</w:t>
      </w:r>
    </w:p>
    <w:p w14:paraId="29F4FC03" w14:textId="77777777" w:rsidR="00386028" w:rsidRDefault="00386028" w:rsidP="00386028">
      <w:pPr>
        <w:rPr>
          <w:lang w:val="en"/>
        </w:rPr>
      </w:pPr>
    </w:p>
    <w:p w14:paraId="438C09FB" w14:textId="77777777" w:rsidR="00386028" w:rsidRPr="00386028" w:rsidRDefault="00386028" w:rsidP="00386028">
      <w:pPr>
        <w:rPr>
          <w:lang w:val="en"/>
        </w:rPr>
      </w:pPr>
    </w:p>
    <w:p w14:paraId="7DE75B20" w14:textId="0E1353EE" w:rsidR="00680519" w:rsidRPr="00386028" w:rsidRDefault="00386028" w:rsidP="00386028">
      <w:pPr>
        <w:rPr>
          <w:lang w:val="en"/>
        </w:rPr>
      </w:pPr>
      <w:r w:rsidRPr="00386028">
        <w:rPr>
          <w:noProof/>
          <w:color w:val="5F5F5F"/>
          <w:lang w:val="en"/>
        </w:rPr>
        <mc:AlternateContent>
          <mc:Choice Requires="wps">
            <w:drawing>
              <wp:inline distT="0" distB="0" distL="0" distR="0" wp14:anchorId="16878850" wp14:editId="6885170A">
                <wp:extent cx="6810375" cy="1404620"/>
                <wp:effectExtent l="0" t="0" r="28575" b="19685"/>
                <wp:docPr id="394094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4620"/>
                        </a:xfrm>
                        <a:prstGeom prst="rect">
                          <a:avLst/>
                        </a:prstGeom>
                        <a:solidFill>
                          <a:srgbClr val="EAEAEA"/>
                        </a:solidFill>
                        <a:ln w="9525">
                          <a:solidFill>
                            <a:srgbClr val="5F5F5F"/>
                          </a:solidFill>
                          <a:miter lim="800000"/>
                          <a:headEnd/>
                          <a:tailEnd/>
                        </a:ln>
                      </wps:spPr>
                      <wps:txbx>
                        <w:txbxContent>
                          <w:p w14:paraId="55449584" w14:textId="77777777" w:rsidR="00386028" w:rsidRPr="00386028" w:rsidRDefault="00386028" w:rsidP="00386028">
                            <w:pPr>
                              <w:spacing w:after="0"/>
                              <w:rPr>
                                <w:color w:val="969696"/>
                                <w:sz w:val="20"/>
                                <w:szCs w:val="22"/>
                              </w:rPr>
                            </w:pPr>
                            <w:r w:rsidRPr="00386028">
                              <w:rPr>
                                <w:color w:val="969696"/>
                                <w:sz w:val="20"/>
                                <w:szCs w:val="22"/>
                              </w:rPr>
                              <w:t>The information provided in this document is for educational and informational purposes only and should not be considered as legal, tax, nor investment advice. It is intended to serve as a sample for general reference only. You should consult a qualified attorney or legal professional for advice tailored to your specific circumstances. This material is a guide for institutional-facing purposes only and should be reviewed and tailored prior to distribution to other audiences, including use with participants.</w:t>
                            </w:r>
                          </w:p>
                        </w:txbxContent>
                      </wps:txbx>
                      <wps:bodyPr rot="0" vert="horz" wrap="square" lIns="91440" tIns="45720" rIns="91440" bIns="45720" anchor="t" anchorCtr="0">
                        <a:spAutoFit/>
                      </wps:bodyPr>
                    </wps:wsp>
                  </a:graphicData>
                </a:graphic>
              </wp:inline>
            </w:drawing>
          </mc:Choice>
          <mc:Fallback>
            <w:pict>
              <v:shape w14:anchorId="16878850" id="_x0000_s1027" type="#_x0000_t202" style="width:53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" fillcolor="#eaeaea" strokecolor="#5f5f5f">
                <v:textbox style="mso-fit-shape-to-text:t">
                  <w:txbxContent>
                    <w:p w14:paraId="55449584" w14:textId="77777777" w:rsidR="00386028" w:rsidRPr="00386028" w:rsidRDefault="00386028" w:rsidP="00386028">
                      <w:pPr>
                        <w:spacing w:after="0"/>
                        <w:rPr>
                          <w:color w:val="969696"/>
                          <w:sz w:val="20"/>
                          <w:szCs w:val="22"/>
                        </w:rPr>
                      </w:pPr>
                      <w:r w:rsidRPr="00386028">
                        <w:rPr>
                          <w:color w:val="969696"/>
                          <w:sz w:val="20"/>
                          <w:szCs w:val="22"/>
                        </w:rPr>
                        <w:t>The information provided in this document is for educational and informational purposes only and should not be considered as legal, tax, nor investment advice. It is intended to serve as a sample for general reference only. You should consult a qualified attorney or legal professional for advice tailored to your specific circumstances. This material is a guide for institutional-facing purposes only and should be reviewed and tailored prior to distribution to other audiences, including use with participants.</w:t>
                      </w:r>
                    </w:p>
                  </w:txbxContent>
                </v:textbox>
                <w10:anchorlock/>
              </v:shape>
            </w:pict>
          </mc:Fallback>
        </mc:AlternateContent>
      </w:r>
    </w:p>
    <w:sectPr w:rsidR="00680519" w:rsidRPr="00386028" w:rsidSect="004E424C">
      <w:headerReference w:type="default" r:id="rId6"/>
      <w:footerReference w:type="default" r:id="rId7"/>
      <w:headerReference w:type="first" r:id="rId8"/>
      <w:footerReference w:type="first" r:id="rId9"/>
      <w:pgSz w:w="12240" w:h="15840"/>
      <w:pgMar w:top="720" w:right="720" w:bottom="720" w:left="720" w:header="720" w:footer="2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F292F" w14:textId="77777777" w:rsidR="001464C0" w:rsidRDefault="001464C0" w:rsidP="007074C4">
      <w:pPr>
        <w:spacing w:after="0" w:line="240" w:lineRule="auto"/>
      </w:pPr>
      <w:r>
        <w:separator/>
      </w:r>
    </w:p>
  </w:endnote>
  <w:endnote w:type="continuationSeparator" w:id="0">
    <w:p w14:paraId="33665BC8" w14:textId="77777777" w:rsidR="001464C0" w:rsidRDefault="001464C0" w:rsidP="0070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00"/>
    <w:family w:val="auto"/>
    <w:pitch w:val="variable"/>
    <w:sig w:usb0="20000007" w:usb1="00000001" w:usb2="00000000" w:usb3="00000000" w:csb0="00000193" w:csb1="00000000"/>
    <w:embedRegular r:id="rId1" w:fontKey="{51FB5908-3C23-4E34-9674-6C1D68D2EDF6}"/>
  </w:font>
  <w:font w:name="Saira">
    <w:panose1 w:val="00000000000000000000"/>
    <w:charset w:val="00"/>
    <w:family w:val="auto"/>
    <w:pitch w:val="variable"/>
    <w:sig w:usb0="A00000FF" w:usb1="500020FB" w:usb2="00000000" w:usb3="00000000" w:csb0="00000193" w:csb1="00000000"/>
    <w:embedRegular r:id="rId2" w:fontKey="{6DCE5C93-323B-4688-A3A3-DC5813229E82}"/>
    <w:embedBold r:id="rId3" w:fontKey="{215978FB-4E8E-450F-BEE9-748CDB704679}"/>
  </w:font>
  <w:font w:name="Times New Roman">
    <w:panose1 w:val="02020603050405020304"/>
    <w:charset w:val="00"/>
    <w:family w:val="roman"/>
    <w:pitch w:val="variable"/>
    <w:sig w:usb0="E0002EFF" w:usb1="C000785B" w:usb2="00000009" w:usb3="00000000" w:csb0="000001FF" w:csb1="00000000"/>
  </w:font>
  <w:font w:name="Oxanium">
    <w:panose1 w:val="00000000000000000000"/>
    <w:charset w:val="00"/>
    <w:family w:val="auto"/>
    <w:pitch w:val="variable"/>
    <w:sig w:usb0="A00000EF" w:usb1="5000204B" w:usb2="00000000" w:usb3="00000000" w:csb0="00000093" w:csb1="00000000"/>
    <w:embedRegular r:id="rId4" w:fontKey="{B5C18D6B-AF74-4B47-84FF-640F369D88D1}"/>
    <w:embedBold r:id="rId5" w:fontKey="{F5CCE725-3AB0-451E-A153-1C23ECB7D2D7}"/>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880B" w14:textId="77777777" w:rsidR="007E3C08" w:rsidRDefault="007E3C08" w:rsidP="00843698">
    <w:pPr>
      <w:pStyle w:val="Footer"/>
      <w:tabs>
        <w:tab w:val="clear" w:pos="4680"/>
        <w:tab w:val="clear" w:pos="9360"/>
        <w:tab w:val="left" w:pos="854"/>
        <w:tab w:val="left" w:pos="3968"/>
      </w:tabs>
    </w:pPr>
    <w:r w:rsidRPr="007E3C08">
      <w:rPr>
        <w:noProof/>
        <w:szCs w:val="22"/>
      </w:rPr>
      <w:drawing>
        <wp:anchor distT="0" distB="0" distL="114300" distR="114300" simplePos="0" relativeHeight="251666432" behindDoc="0" locked="0" layoutInCell="1" allowOverlap="1" wp14:anchorId="752CF5EF" wp14:editId="5F36DEDD">
          <wp:simplePos x="0" y="0"/>
          <wp:positionH relativeFrom="margin">
            <wp:posOffset>6596743</wp:posOffset>
          </wp:positionH>
          <wp:positionV relativeFrom="paragraph">
            <wp:posOffset>127410</wp:posOffset>
          </wp:positionV>
          <wp:extent cx="264071" cy="135640"/>
          <wp:effectExtent l="0" t="0" r="3175" b="0"/>
          <wp:wrapNone/>
          <wp:docPr id="7981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72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4071" cy="13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4DE">
      <w:tab/>
    </w:r>
  </w:p>
  <w:p w14:paraId="2359EA85" w14:textId="3194447F" w:rsidR="007074C4" w:rsidRDefault="00843698" w:rsidP="00843698">
    <w:pPr>
      <w:pStyle w:val="Footer"/>
      <w:tabs>
        <w:tab w:val="clear" w:pos="4680"/>
        <w:tab w:val="clear" w:pos="9360"/>
        <w:tab w:val="left" w:pos="854"/>
        <w:tab w:val="left" w:pos="396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B2EE" w14:textId="6A1E7D76" w:rsidR="007074C4" w:rsidRPr="007E3C08" w:rsidRDefault="007E3C08" w:rsidP="007074C4">
    <w:pPr>
      <w:spacing w:after="0"/>
      <w:rPr>
        <w:sz w:val="18"/>
        <w:szCs w:val="20"/>
      </w:rPr>
    </w:pPr>
    <w:r w:rsidRPr="007E3C08">
      <w:rPr>
        <w:noProof/>
        <w:szCs w:val="22"/>
      </w:rPr>
      <w:drawing>
        <wp:anchor distT="0" distB="0" distL="114300" distR="114300" simplePos="0" relativeHeight="251663360" behindDoc="0" locked="0" layoutInCell="1" allowOverlap="1" wp14:anchorId="476A3265" wp14:editId="11C90BF0">
          <wp:simplePos x="0" y="0"/>
          <wp:positionH relativeFrom="margin">
            <wp:posOffset>6513616</wp:posOffset>
          </wp:positionH>
          <wp:positionV relativeFrom="paragraph">
            <wp:posOffset>198325</wp:posOffset>
          </wp:positionV>
          <wp:extent cx="346313" cy="177883"/>
          <wp:effectExtent l="0" t="0" r="0" b="0"/>
          <wp:wrapNone/>
          <wp:docPr id="1631680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8013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6313" cy="177883"/>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70"/>
      <w:gridCol w:w="2160"/>
      <w:gridCol w:w="5476"/>
    </w:tblGrid>
    <w:tr w:rsidR="007074C4" w:rsidRPr="007074C4" w14:paraId="6459F0DE" w14:textId="77777777" w:rsidTr="00EC0B03">
      <w:trPr>
        <w:trHeight w:val="347"/>
      </w:trPr>
      <w:tc>
        <w:tcPr>
          <w:tcW w:w="2070" w:type="dxa"/>
          <w:shd w:val="clear" w:color="auto" w:fill="auto"/>
        </w:tcPr>
        <w:p w14:paraId="1FA596B7" w14:textId="1E2CFDD0" w:rsidR="007074C4" w:rsidRPr="007E3C08" w:rsidRDefault="007074C4" w:rsidP="007E3C08">
          <w:pPr>
            <w:pStyle w:val="Footer"/>
            <w:spacing w:line="192" w:lineRule="auto"/>
            <w:ind w:left="-107"/>
            <w:rPr>
              <w:color w:val="000000" w:themeColor="text1"/>
              <w:spacing w:val="6"/>
              <w:sz w:val="16"/>
              <w:szCs w:val="16"/>
            </w:rPr>
          </w:pPr>
        </w:p>
      </w:tc>
      <w:tc>
        <w:tcPr>
          <w:tcW w:w="2160" w:type="dxa"/>
          <w:shd w:val="clear" w:color="auto" w:fill="auto"/>
        </w:tcPr>
        <w:p w14:paraId="2E93AA8C" w14:textId="7F3E9026" w:rsidR="007074C4" w:rsidRPr="007E3C08" w:rsidRDefault="007074C4" w:rsidP="007E3C08">
          <w:pPr>
            <w:pStyle w:val="Footer"/>
            <w:spacing w:line="192" w:lineRule="auto"/>
            <w:rPr>
              <w:color w:val="000000"/>
              <w:spacing w:val="6"/>
              <w:sz w:val="16"/>
              <w:szCs w:val="16"/>
              <w:u w:val="single" w:color="0000FF"/>
            </w:rPr>
          </w:pPr>
        </w:p>
      </w:tc>
      <w:tc>
        <w:tcPr>
          <w:tcW w:w="5476" w:type="dxa"/>
          <w:shd w:val="clear" w:color="auto" w:fill="auto"/>
        </w:tcPr>
        <w:p w14:paraId="72027BF2" w14:textId="41F56C0A" w:rsidR="007074C4" w:rsidRPr="007E3C08" w:rsidRDefault="007074C4" w:rsidP="007E3C08">
          <w:pPr>
            <w:pStyle w:val="Footer"/>
            <w:spacing w:line="192" w:lineRule="auto"/>
            <w:rPr>
              <w:color w:val="000000" w:themeColor="text1"/>
              <w:spacing w:val="6"/>
              <w:sz w:val="16"/>
              <w:szCs w:val="16"/>
            </w:rPr>
          </w:pPr>
        </w:p>
      </w:tc>
    </w:tr>
  </w:tbl>
  <w:p w14:paraId="328BE29A" w14:textId="61B2B3A1" w:rsidR="007074C4" w:rsidRPr="007E3C08" w:rsidRDefault="007074C4" w:rsidP="007E3C08">
    <w:pPr>
      <w:pStyle w:val="Footer"/>
      <w:rPr>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AE691" w14:textId="77777777" w:rsidR="001464C0" w:rsidRDefault="001464C0" w:rsidP="007074C4">
      <w:pPr>
        <w:spacing w:after="0" w:line="240" w:lineRule="auto"/>
      </w:pPr>
      <w:r>
        <w:separator/>
      </w:r>
    </w:p>
  </w:footnote>
  <w:footnote w:type="continuationSeparator" w:id="0">
    <w:p w14:paraId="4C6CA4F5" w14:textId="77777777" w:rsidR="001464C0" w:rsidRDefault="001464C0" w:rsidP="0070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8A28" w14:textId="3B87025F" w:rsidR="007E3C08" w:rsidRDefault="007E3C08">
    <w:pPr>
      <w:pStyle w:val="Header"/>
    </w:pPr>
    <w:r>
      <w:rPr>
        <w:noProof/>
      </w:rPr>
      <w:drawing>
        <wp:anchor distT="0" distB="0" distL="114300" distR="114300" simplePos="0" relativeHeight="251660288" behindDoc="0" locked="0" layoutInCell="1" allowOverlap="1" wp14:anchorId="22904B15" wp14:editId="43340746">
          <wp:simplePos x="0" y="0"/>
          <wp:positionH relativeFrom="margin">
            <wp:posOffset>0</wp:posOffset>
          </wp:positionH>
          <wp:positionV relativeFrom="paragraph">
            <wp:posOffset>1744</wp:posOffset>
          </wp:positionV>
          <wp:extent cx="274320" cy="27432"/>
          <wp:effectExtent l="0" t="0" r="0" b="0"/>
          <wp:wrapNone/>
          <wp:docPr id="1185441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274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C737" w14:textId="6C389A8A" w:rsidR="007074C4" w:rsidRPr="007E3C08" w:rsidRDefault="007E3C08" w:rsidP="007E3C08">
    <w:pPr>
      <w:pStyle w:val="Header"/>
      <w:rPr>
        <w:sz w:val="28"/>
        <w:szCs w:val="28"/>
      </w:rPr>
    </w:pPr>
    <w:r w:rsidRPr="007E3C08">
      <w:rPr>
        <w:noProof/>
        <w:sz w:val="28"/>
        <w:szCs w:val="28"/>
      </w:rPr>
      <w:drawing>
        <wp:anchor distT="0" distB="0" distL="114300" distR="114300" simplePos="0" relativeHeight="251661312" behindDoc="0" locked="0" layoutInCell="1" allowOverlap="1" wp14:anchorId="379CD73D" wp14:editId="77FF54B1">
          <wp:simplePos x="0" y="0"/>
          <wp:positionH relativeFrom="column">
            <wp:posOffset>5938</wp:posOffset>
          </wp:positionH>
          <wp:positionV relativeFrom="paragraph">
            <wp:posOffset>6153</wp:posOffset>
          </wp:positionV>
          <wp:extent cx="561975" cy="288658"/>
          <wp:effectExtent l="0" t="0" r="0" b="0"/>
          <wp:wrapNone/>
          <wp:docPr id="1259041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4110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1975" cy="288658"/>
                  </a:xfrm>
                  <a:prstGeom prst="rect">
                    <a:avLst/>
                  </a:prstGeom>
                  <a:noFill/>
                  <a:ln>
                    <a:noFill/>
                  </a:ln>
                </pic:spPr>
              </pic:pic>
            </a:graphicData>
          </a:graphic>
        </wp:anchor>
      </w:drawing>
    </w:r>
  </w:p>
  <w:p w14:paraId="7B0E06D1" w14:textId="77777777" w:rsidR="007E3C08" w:rsidRDefault="007E3C08" w:rsidP="007E3C08">
    <w:pPr>
      <w:pStyle w:val="Header"/>
    </w:pPr>
  </w:p>
  <w:p w14:paraId="075DEE76" w14:textId="77777777" w:rsidR="00A373D9" w:rsidRPr="007E3C08" w:rsidRDefault="00A373D9" w:rsidP="007E3C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C4"/>
    <w:rsid w:val="000D3C1D"/>
    <w:rsid w:val="000E6AFD"/>
    <w:rsid w:val="000F33C0"/>
    <w:rsid w:val="001464C0"/>
    <w:rsid w:val="001A4EF5"/>
    <w:rsid w:val="001D45A3"/>
    <w:rsid w:val="002C5DC6"/>
    <w:rsid w:val="002E3B9A"/>
    <w:rsid w:val="00371832"/>
    <w:rsid w:val="00386028"/>
    <w:rsid w:val="00392A60"/>
    <w:rsid w:val="00425992"/>
    <w:rsid w:val="004805D7"/>
    <w:rsid w:val="004A19AC"/>
    <w:rsid w:val="004E424C"/>
    <w:rsid w:val="005066B7"/>
    <w:rsid w:val="0058611C"/>
    <w:rsid w:val="0059383D"/>
    <w:rsid w:val="00633069"/>
    <w:rsid w:val="00680519"/>
    <w:rsid w:val="007074C4"/>
    <w:rsid w:val="007665A1"/>
    <w:rsid w:val="0079556A"/>
    <w:rsid w:val="007E3C08"/>
    <w:rsid w:val="007F4B1C"/>
    <w:rsid w:val="007F6DE5"/>
    <w:rsid w:val="00843698"/>
    <w:rsid w:val="00A026B7"/>
    <w:rsid w:val="00A373D9"/>
    <w:rsid w:val="00A85269"/>
    <w:rsid w:val="00A90BD2"/>
    <w:rsid w:val="00AA31F3"/>
    <w:rsid w:val="00AC0EC7"/>
    <w:rsid w:val="00AC40A4"/>
    <w:rsid w:val="00B578FC"/>
    <w:rsid w:val="00BA7862"/>
    <w:rsid w:val="00BC798A"/>
    <w:rsid w:val="00D10D28"/>
    <w:rsid w:val="00DB59F8"/>
    <w:rsid w:val="00DE492D"/>
    <w:rsid w:val="00E339F3"/>
    <w:rsid w:val="00E354DE"/>
    <w:rsid w:val="00EB5E1C"/>
    <w:rsid w:val="00EC0B03"/>
    <w:rsid w:val="00EC0E80"/>
    <w:rsid w:val="00EF3031"/>
    <w:rsid w:val="00F35E55"/>
    <w:rsid w:val="00FF33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AD951"/>
  <w15:chartTrackingRefBased/>
  <w15:docId w15:val="{A78EA709-61A3-4F0C-A7D6-1407B08E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1C"/>
    <w:pPr>
      <w:spacing w:after="240" w:line="264" w:lineRule="auto"/>
    </w:pPr>
    <w:rPr>
      <w:rFonts w:ascii="Saira" w:hAnsi="Saira"/>
      <w:spacing w:val="4"/>
      <w:sz w:val="22"/>
    </w:rPr>
  </w:style>
  <w:style w:type="paragraph" w:styleId="Heading1">
    <w:name w:val="heading 1"/>
    <w:basedOn w:val="Normal"/>
    <w:next w:val="Normal"/>
    <w:link w:val="Heading1Char"/>
    <w:uiPriority w:val="9"/>
    <w:qFormat/>
    <w:rsid w:val="004E424C"/>
    <w:pPr>
      <w:keepNext/>
      <w:keepLines/>
      <w:spacing w:before="240" w:after="60" w:line="216" w:lineRule="auto"/>
      <w:outlineLvl w:val="0"/>
    </w:pPr>
    <w:rPr>
      <w:rFonts w:ascii="Oxanium" w:eastAsiaTheme="majorEastAsia" w:hAnsi="Oxanium" w:cstheme="majorBidi"/>
      <w:b/>
      <w:color w:val="000000"/>
      <w:sz w:val="52"/>
      <w:szCs w:val="32"/>
    </w:rPr>
  </w:style>
  <w:style w:type="paragraph" w:styleId="Heading2">
    <w:name w:val="heading 2"/>
    <w:basedOn w:val="Normal"/>
    <w:next w:val="Normal"/>
    <w:link w:val="Heading2Char"/>
    <w:uiPriority w:val="9"/>
    <w:unhideWhenUsed/>
    <w:qFormat/>
    <w:rsid w:val="004E424C"/>
    <w:pPr>
      <w:keepNext/>
      <w:keepLines/>
      <w:spacing w:before="40" w:after="60"/>
      <w:outlineLvl w:val="1"/>
    </w:pPr>
    <w:rPr>
      <w:rFonts w:ascii="Oxanium" w:eastAsiaTheme="majorEastAsia" w:hAnsi="Oxanium" w:cstheme="majorBidi"/>
      <w:color w:val="000000"/>
      <w:sz w:val="44"/>
      <w:szCs w:val="26"/>
    </w:rPr>
  </w:style>
  <w:style w:type="paragraph" w:styleId="Heading3">
    <w:name w:val="heading 3"/>
    <w:basedOn w:val="Normal"/>
    <w:next w:val="Normal"/>
    <w:link w:val="Heading3Char"/>
    <w:uiPriority w:val="9"/>
    <w:unhideWhenUsed/>
    <w:qFormat/>
    <w:rsid w:val="004E424C"/>
    <w:pPr>
      <w:keepNext/>
      <w:keepLines/>
      <w:spacing w:before="40" w:after="60"/>
      <w:outlineLvl w:val="2"/>
    </w:pPr>
    <w:rPr>
      <w:rFonts w:ascii="Oxanium" w:eastAsiaTheme="majorEastAsia" w:hAnsi="Oxanium" w:cstheme="majorBidi"/>
      <w:b/>
      <w:color w:val="0000FF"/>
      <w:sz w:val="36"/>
    </w:rPr>
  </w:style>
  <w:style w:type="paragraph" w:styleId="Heading4">
    <w:name w:val="heading 4"/>
    <w:basedOn w:val="Normal"/>
    <w:next w:val="Normal"/>
    <w:link w:val="Heading4Char"/>
    <w:uiPriority w:val="9"/>
    <w:unhideWhenUsed/>
    <w:qFormat/>
    <w:rsid w:val="004E424C"/>
    <w:pPr>
      <w:keepNext/>
      <w:keepLines/>
      <w:spacing w:before="40" w:after="60"/>
      <w:outlineLvl w:val="3"/>
    </w:pPr>
    <w:rPr>
      <w:rFonts w:ascii="Oxanium" w:eastAsiaTheme="majorEastAsia" w:hAnsi="Oxanium" w:cstheme="majorBidi"/>
      <w:b/>
      <w:iCs/>
      <w:caps/>
      <w:color w:val="000000"/>
    </w:rPr>
  </w:style>
  <w:style w:type="paragraph" w:styleId="Heading5">
    <w:name w:val="heading 5"/>
    <w:basedOn w:val="Normal"/>
    <w:next w:val="Normal"/>
    <w:link w:val="Heading5Char"/>
    <w:uiPriority w:val="9"/>
    <w:unhideWhenUsed/>
    <w:qFormat/>
    <w:rsid w:val="004E424C"/>
    <w:pPr>
      <w:keepNext/>
      <w:keepLines/>
      <w:spacing w:before="40" w:after="60"/>
      <w:outlineLvl w:val="4"/>
    </w:pPr>
    <w:rPr>
      <w:rFonts w:ascii="Oxanium" w:eastAsiaTheme="majorEastAsia" w:hAnsi="Oxanium" w:cstheme="majorBidi"/>
      <w:color w:val="777777"/>
    </w:rPr>
  </w:style>
  <w:style w:type="paragraph" w:styleId="Heading6">
    <w:name w:val="heading 6"/>
    <w:basedOn w:val="Normal"/>
    <w:next w:val="Normal"/>
    <w:link w:val="Heading6Char"/>
    <w:uiPriority w:val="9"/>
    <w:semiHidden/>
    <w:unhideWhenUsed/>
    <w:qFormat/>
    <w:rsid w:val="004E424C"/>
    <w:pPr>
      <w:keepNext/>
      <w:keepLines/>
      <w:spacing w:before="40" w:after="60"/>
      <w:outlineLvl w:val="5"/>
    </w:pPr>
    <w:rPr>
      <w:rFonts w:eastAsiaTheme="majorEastAsia" w:cstheme="majorBid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4C4"/>
  </w:style>
  <w:style w:type="paragraph" w:styleId="Footer">
    <w:name w:val="footer"/>
    <w:basedOn w:val="Normal"/>
    <w:link w:val="FooterChar"/>
    <w:uiPriority w:val="99"/>
    <w:unhideWhenUsed/>
    <w:rsid w:val="00707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4C4"/>
  </w:style>
  <w:style w:type="table" w:styleId="TableGrid">
    <w:name w:val="Table Grid"/>
    <w:basedOn w:val="TableNormal"/>
    <w:uiPriority w:val="39"/>
    <w:rsid w:val="0070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4C4"/>
    <w:rPr>
      <w:color w:val="0000FF" w:themeColor="hyperlink"/>
      <w:u w:val="single"/>
    </w:rPr>
  </w:style>
  <w:style w:type="character" w:styleId="UnresolvedMention">
    <w:name w:val="Unresolved Mention"/>
    <w:basedOn w:val="DefaultParagraphFont"/>
    <w:uiPriority w:val="99"/>
    <w:semiHidden/>
    <w:unhideWhenUsed/>
    <w:rsid w:val="007074C4"/>
    <w:rPr>
      <w:color w:val="605E5C"/>
      <w:shd w:val="clear" w:color="auto" w:fill="E1DFDD"/>
    </w:rPr>
  </w:style>
  <w:style w:type="paragraph" w:styleId="NoSpacing">
    <w:name w:val="No Spacing"/>
    <w:uiPriority w:val="1"/>
    <w:qFormat/>
    <w:rsid w:val="004E424C"/>
    <w:pPr>
      <w:spacing w:after="0" w:line="252" w:lineRule="auto"/>
    </w:pPr>
    <w:rPr>
      <w:rFonts w:ascii="Saira" w:hAnsi="Saira"/>
    </w:rPr>
  </w:style>
  <w:style w:type="character" w:customStyle="1" w:styleId="Heading1Char">
    <w:name w:val="Heading 1 Char"/>
    <w:basedOn w:val="DefaultParagraphFont"/>
    <w:link w:val="Heading1"/>
    <w:uiPriority w:val="9"/>
    <w:rsid w:val="004E424C"/>
    <w:rPr>
      <w:rFonts w:ascii="Oxanium" w:eastAsiaTheme="majorEastAsia" w:hAnsi="Oxanium" w:cstheme="majorBidi"/>
      <w:b/>
      <w:color w:val="000000"/>
      <w:sz w:val="52"/>
      <w:szCs w:val="32"/>
    </w:rPr>
  </w:style>
  <w:style w:type="character" w:customStyle="1" w:styleId="Heading2Char">
    <w:name w:val="Heading 2 Char"/>
    <w:basedOn w:val="DefaultParagraphFont"/>
    <w:link w:val="Heading2"/>
    <w:uiPriority w:val="9"/>
    <w:rsid w:val="004E424C"/>
    <w:rPr>
      <w:rFonts w:ascii="Oxanium" w:eastAsiaTheme="majorEastAsia" w:hAnsi="Oxanium" w:cstheme="majorBidi"/>
      <w:color w:val="000000"/>
      <w:sz w:val="44"/>
      <w:szCs w:val="26"/>
    </w:rPr>
  </w:style>
  <w:style w:type="character" w:customStyle="1" w:styleId="Heading3Char">
    <w:name w:val="Heading 3 Char"/>
    <w:basedOn w:val="DefaultParagraphFont"/>
    <w:link w:val="Heading3"/>
    <w:uiPriority w:val="9"/>
    <w:rsid w:val="004E424C"/>
    <w:rPr>
      <w:rFonts w:ascii="Oxanium" w:eastAsiaTheme="majorEastAsia" w:hAnsi="Oxanium" w:cstheme="majorBidi"/>
      <w:b/>
      <w:color w:val="0000FF"/>
      <w:sz w:val="36"/>
    </w:rPr>
  </w:style>
  <w:style w:type="character" w:customStyle="1" w:styleId="Heading4Char">
    <w:name w:val="Heading 4 Char"/>
    <w:basedOn w:val="DefaultParagraphFont"/>
    <w:link w:val="Heading4"/>
    <w:uiPriority w:val="9"/>
    <w:rsid w:val="004E424C"/>
    <w:rPr>
      <w:rFonts w:ascii="Oxanium" w:eastAsiaTheme="majorEastAsia" w:hAnsi="Oxanium" w:cstheme="majorBidi"/>
      <w:b/>
      <w:iCs/>
      <w:caps/>
      <w:color w:val="000000"/>
    </w:rPr>
  </w:style>
  <w:style w:type="character" w:customStyle="1" w:styleId="Heading5Char">
    <w:name w:val="Heading 5 Char"/>
    <w:basedOn w:val="DefaultParagraphFont"/>
    <w:link w:val="Heading5"/>
    <w:uiPriority w:val="9"/>
    <w:rsid w:val="004E424C"/>
    <w:rPr>
      <w:rFonts w:ascii="Oxanium" w:eastAsiaTheme="majorEastAsia" w:hAnsi="Oxanium" w:cstheme="majorBidi"/>
      <w:color w:val="777777"/>
    </w:rPr>
  </w:style>
  <w:style w:type="character" w:customStyle="1" w:styleId="Heading6Char">
    <w:name w:val="Heading 6 Char"/>
    <w:basedOn w:val="DefaultParagraphFont"/>
    <w:link w:val="Heading6"/>
    <w:uiPriority w:val="9"/>
    <w:semiHidden/>
    <w:rsid w:val="004E424C"/>
    <w:rPr>
      <w:rFonts w:ascii="Saira" w:eastAsiaTheme="majorEastAsia" w:hAnsi="Saira" w:cstheme="majorBidi"/>
      <w:b/>
      <w:color w:val="000000"/>
      <w:sz w:val="22"/>
    </w:rPr>
  </w:style>
  <w:style w:type="paragraph" w:styleId="Title">
    <w:name w:val="Title"/>
    <w:basedOn w:val="Normal"/>
    <w:next w:val="Normal"/>
    <w:link w:val="TitleChar"/>
    <w:uiPriority w:val="10"/>
    <w:qFormat/>
    <w:rsid w:val="007F4B1C"/>
    <w:pPr>
      <w:spacing w:after="120" w:line="240" w:lineRule="auto"/>
      <w:contextualSpacing/>
    </w:pPr>
    <w:rPr>
      <w:rFonts w:ascii="Oxanium" w:eastAsiaTheme="majorEastAsia" w:hAnsi="Oxanium" w:cstheme="majorBidi"/>
      <w:b/>
      <w:spacing w:val="-10"/>
      <w:kern w:val="28"/>
      <w:sz w:val="72"/>
      <w:szCs w:val="56"/>
    </w:rPr>
  </w:style>
  <w:style w:type="character" w:customStyle="1" w:styleId="TitleChar">
    <w:name w:val="Title Char"/>
    <w:basedOn w:val="DefaultParagraphFont"/>
    <w:link w:val="Title"/>
    <w:uiPriority w:val="10"/>
    <w:rsid w:val="007F4B1C"/>
    <w:rPr>
      <w:rFonts w:ascii="Oxanium" w:eastAsiaTheme="majorEastAsia" w:hAnsi="Oxanium" w:cstheme="majorBidi"/>
      <w:b/>
      <w:spacing w:val="-10"/>
      <w:kern w:val="28"/>
      <w:sz w:val="72"/>
      <w:szCs w:val="56"/>
    </w:rPr>
  </w:style>
  <w:style w:type="paragraph" w:styleId="Subtitle">
    <w:name w:val="Subtitle"/>
    <w:basedOn w:val="Normal"/>
    <w:next w:val="Normal"/>
    <w:link w:val="SubtitleChar"/>
    <w:uiPriority w:val="11"/>
    <w:qFormat/>
    <w:rsid w:val="007F4B1C"/>
    <w:pPr>
      <w:numPr>
        <w:ilvl w:val="1"/>
      </w:numPr>
      <w:spacing w:after="160" w:line="228" w:lineRule="auto"/>
    </w:pPr>
    <w:rPr>
      <w:rFonts w:ascii="Oxanium" w:eastAsiaTheme="minorEastAsia" w:hAnsi="Oxanium"/>
      <w:color w:val="0000FF"/>
      <w:spacing w:val="15"/>
      <w:sz w:val="52"/>
      <w:szCs w:val="22"/>
    </w:rPr>
  </w:style>
  <w:style w:type="character" w:customStyle="1" w:styleId="SubtitleChar">
    <w:name w:val="Subtitle Char"/>
    <w:basedOn w:val="DefaultParagraphFont"/>
    <w:link w:val="Subtitle"/>
    <w:uiPriority w:val="11"/>
    <w:rsid w:val="007F4B1C"/>
    <w:rPr>
      <w:rFonts w:ascii="Oxanium" w:eastAsiaTheme="minorEastAsia" w:hAnsi="Oxanium"/>
      <w:color w:val="0000FF"/>
      <w:spacing w:val="15"/>
      <w:sz w:val="5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3764">
      <w:bodyDiv w:val="1"/>
      <w:marLeft w:val="0"/>
      <w:marRight w:val="0"/>
      <w:marTop w:val="0"/>
      <w:marBottom w:val="0"/>
      <w:divBdr>
        <w:top w:val="none" w:sz="0" w:space="0" w:color="auto"/>
        <w:left w:val="none" w:sz="0" w:space="0" w:color="auto"/>
        <w:bottom w:val="none" w:sz="0" w:space="0" w:color="auto"/>
        <w:right w:val="none" w:sz="0" w:space="0" w:color="auto"/>
      </w:divBdr>
    </w:div>
    <w:div w:id="86929737">
      <w:bodyDiv w:val="1"/>
      <w:marLeft w:val="0"/>
      <w:marRight w:val="0"/>
      <w:marTop w:val="0"/>
      <w:marBottom w:val="0"/>
      <w:divBdr>
        <w:top w:val="none" w:sz="0" w:space="0" w:color="auto"/>
        <w:left w:val="none" w:sz="0" w:space="0" w:color="auto"/>
        <w:bottom w:val="none" w:sz="0" w:space="0" w:color="auto"/>
        <w:right w:val="none" w:sz="0" w:space="0" w:color="auto"/>
      </w:divBdr>
    </w:div>
    <w:div w:id="148787035">
      <w:bodyDiv w:val="1"/>
      <w:marLeft w:val="0"/>
      <w:marRight w:val="0"/>
      <w:marTop w:val="0"/>
      <w:marBottom w:val="0"/>
      <w:divBdr>
        <w:top w:val="none" w:sz="0" w:space="0" w:color="auto"/>
        <w:left w:val="none" w:sz="0" w:space="0" w:color="auto"/>
        <w:bottom w:val="none" w:sz="0" w:space="0" w:color="auto"/>
        <w:right w:val="none" w:sz="0" w:space="0" w:color="auto"/>
      </w:divBdr>
    </w:div>
    <w:div w:id="974942881">
      <w:bodyDiv w:val="1"/>
      <w:marLeft w:val="0"/>
      <w:marRight w:val="0"/>
      <w:marTop w:val="0"/>
      <w:marBottom w:val="0"/>
      <w:divBdr>
        <w:top w:val="none" w:sz="0" w:space="0" w:color="auto"/>
        <w:left w:val="none" w:sz="0" w:space="0" w:color="auto"/>
        <w:bottom w:val="none" w:sz="0" w:space="0" w:color="auto"/>
        <w:right w:val="none" w:sz="0" w:space="0" w:color="auto"/>
      </w:divBdr>
    </w:div>
    <w:div w:id="13158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ysClr val="window" lastClr="FFFFFF"/>
      </a:lt1>
      <a:dk2>
        <a:srgbClr val="444444"/>
      </a:dk2>
      <a:lt2>
        <a:srgbClr val="F2F2F2"/>
      </a:lt2>
      <a:accent1>
        <a:srgbClr val="CCCCCC"/>
      </a:accent1>
      <a:accent2>
        <a:srgbClr val="999999"/>
      </a:accent2>
      <a:accent3>
        <a:srgbClr val="0000FF"/>
      </a:accent3>
      <a:accent4>
        <a:srgbClr val="5BBC15"/>
      </a:accent4>
      <a:accent5>
        <a:srgbClr val="D84320"/>
      </a:accent5>
      <a:accent6>
        <a:srgbClr val="FFFF00"/>
      </a:accent6>
      <a:hlink>
        <a:srgbClr val="0000FF"/>
      </a:hlink>
      <a:folHlink>
        <a:srgbClr val="0000FF"/>
      </a:folHlink>
    </a:clrScheme>
    <a:fontScheme name="iJoin">
      <a:majorFont>
        <a:latin typeface="Oxanium"/>
        <a:ea typeface=""/>
        <a:cs typeface=""/>
      </a:majorFont>
      <a:minorFont>
        <a:latin typeface="Sair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Brown</dc:creator>
  <cp:keywords/>
  <dc:description/>
  <cp:lastModifiedBy>Taylor Brown</cp:lastModifiedBy>
  <cp:revision>3</cp:revision>
  <cp:lastPrinted>2024-05-16T19:58:00Z</cp:lastPrinted>
  <dcterms:created xsi:type="dcterms:W3CDTF">2025-03-05T19:36:00Z</dcterms:created>
  <dcterms:modified xsi:type="dcterms:W3CDTF">2025-03-19T18:27:00Z</dcterms:modified>
</cp:coreProperties>
</file>